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214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586231009017590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Ветлугин Д.И.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признал, пояснив, что действительно не уплатил штраф в установленный законом срок, потому что </w:t>
      </w:r>
      <w:r>
        <w:rPr>
          <w:rFonts w:ascii="Times New Roman" w:eastAsia="Times New Roman" w:hAnsi="Times New Roman" w:cs="Times New Roman"/>
        </w:rPr>
        <w:t>не получал копию постановления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 xml:space="preserve">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-отчетом об отслеживании почтовых отправлений,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Доводы лица, привлекаемого к административной ответственности о том, что он не получал копию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постановления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не могут быть приняты во внимание, поскольку постановление было направлено по месту его жительства, указанному в регистрационных документах на транспортное средство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 получено Ветлугиным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В электронном виде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0412365400285002142420160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